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6F" w:rsidRDefault="0035146F" w:rsidP="00BF1F2D">
      <w:pPr>
        <w:pageBreakBefore/>
        <w:spacing w:after="0" w:line="276" w:lineRule="auto"/>
        <w:rPr>
          <w:rFonts w:ascii="Titillium" w:hAnsi="Titillium" w:cs="Times New Roman"/>
          <w:sz w:val="20"/>
          <w:szCs w:val="20"/>
        </w:rPr>
      </w:pPr>
    </w:p>
    <w:p w:rsidR="00764C40" w:rsidRPr="00BF1F2D" w:rsidRDefault="0035146F" w:rsidP="00BF1F2D">
      <w:pPr>
        <w:pageBreakBefore/>
        <w:spacing w:after="0" w:line="276" w:lineRule="auto"/>
        <w:jc w:val="center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lastRenderedPageBreak/>
        <w:t xml:space="preserve">COMUNE </w:t>
      </w:r>
      <w:proofErr w:type="spellStart"/>
      <w:r>
        <w:rPr>
          <w:rFonts w:ascii="Titillium" w:hAnsi="Titillium" w:cs="Times New Roman"/>
          <w:sz w:val="20"/>
          <w:szCs w:val="20"/>
        </w:rPr>
        <w:t>DI</w:t>
      </w:r>
      <w:proofErr w:type="spellEnd"/>
      <w:r>
        <w:rPr>
          <w:rFonts w:ascii="Titillium" w:hAnsi="Titillium" w:cs="Times New Roman"/>
          <w:sz w:val="20"/>
          <w:szCs w:val="20"/>
        </w:rPr>
        <w:t xml:space="preserve"> FOGLIZZO</w:t>
      </w:r>
    </w:p>
    <w:p w:rsidR="004E3FEA" w:rsidRPr="00C5488A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:rsidR="004E3FEA" w:rsidRPr="00987C24" w:rsidRDefault="00E025EF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Il Nucleo di valutazione</w:t>
      </w:r>
      <w:r w:rsidR="001E538C" w:rsidRPr="00C5488A">
        <w:rPr>
          <w:rFonts w:ascii="Titillium" w:hAnsi="Titillium" w:cs="Times New Roman"/>
          <w:sz w:val="20"/>
          <w:szCs w:val="20"/>
        </w:rPr>
        <w:t xml:space="preserve"> </w:t>
      </w:r>
      <w:r>
        <w:rPr>
          <w:rFonts w:ascii="Titillium" w:hAnsi="Titillium" w:cs="Times New Roman"/>
          <w:sz w:val="20"/>
          <w:szCs w:val="20"/>
        </w:rPr>
        <w:t xml:space="preserve">presso Comune di </w:t>
      </w:r>
      <w:proofErr w:type="spellStart"/>
      <w:r>
        <w:rPr>
          <w:rFonts w:ascii="Titillium" w:hAnsi="Titillium" w:cs="Times New Roman"/>
          <w:sz w:val="20"/>
          <w:szCs w:val="20"/>
        </w:rPr>
        <w:t>Foglizzo</w:t>
      </w:r>
      <w:proofErr w:type="spellEnd"/>
      <w:r w:rsidR="00DA74D8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>ha effettuato</w:t>
      </w:r>
      <w:r w:rsidR="00DA74D8" w:rsidRPr="00C5488A">
        <w:rPr>
          <w:rFonts w:ascii="Titillium" w:hAnsi="Titillium" w:cs="Times New Roman"/>
          <w:sz w:val="20"/>
          <w:szCs w:val="20"/>
        </w:rPr>
        <w:t>,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ai sensi dell’art. 14, co. 4, lett. g), del d.lgs. n. 150/2009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b/>
          <w:sz w:val="20"/>
          <w:szCs w:val="20"/>
        </w:rPr>
        <w:t>201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2E071E">
        <w:rPr>
          <w:rFonts w:ascii="Titillium" w:hAnsi="Titillium" w:cs="Times New Roman"/>
          <w:b/>
          <w:sz w:val="20"/>
          <w:szCs w:val="20"/>
        </w:rPr>
        <w:t>2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="009517B8" w:rsidRPr="00987C24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>.A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– Griglia di rilevazione al </w:t>
      </w:r>
      <w:r w:rsidR="00167FEA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31 maggio</w:t>
      </w:r>
      <w:r w:rsidR="00A30748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</w:t>
      </w:r>
      <w:r w:rsidR="002E071E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2</w:t>
      </w:r>
      <w:r w:rsidR="00E70EBB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6F7903">
        <w:rPr>
          <w:rFonts w:ascii="Titillium" w:hAnsi="Titillium" w:cs="Times New Roman"/>
          <w:color w:val="000000" w:themeColor="text1"/>
          <w:sz w:val="20"/>
          <w:szCs w:val="20"/>
        </w:rPr>
        <w:t>della</w:t>
      </w:r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delibera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color w:val="000000" w:themeColor="text1"/>
          <w:sz w:val="20"/>
          <w:szCs w:val="20"/>
        </w:rPr>
        <w:t>201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2E071E">
        <w:rPr>
          <w:rFonts w:ascii="Titillium" w:hAnsi="Titillium" w:cs="Times New Roman"/>
          <w:color w:val="000000" w:themeColor="text1"/>
          <w:sz w:val="20"/>
          <w:szCs w:val="20"/>
        </w:rPr>
        <w:t>2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:rsidR="004869E2" w:rsidRPr="00C5488A" w:rsidRDefault="00E025EF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Il Nucleo di valutazione</w:t>
      </w:r>
      <w:r w:rsidR="004869E2" w:rsidRPr="00C5488A">
        <w:rPr>
          <w:rFonts w:ascii="Titillium" w:hAnsi="Titillium" w:cs="Times New Roman"/>
          <w:sz w:val="20"/>
          <w:szCs w:val="20"/>
        </w:rPr>
        <w:t xml:space="preserve"> ha svolto gli accertamenti:</w:t>
      </w:r>
    </w:p>
    <w:p w:rsidR="004869E2" w:rsidRPr="00C5488A" w:rsidRDefault="004869E2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C5488A">
        <w:rPr>
          <w:rFonts w:ascii="Titillium" w:hAnsi="Titillium" w:cs="Times New Roman"/>
          <w:sz w:val="20"/>
          <w:szCs w:val="20"/>
        </w:rPr>
        <w:t>trasparenza ai sensi dell’art. 43, c</w:t>
      </w:r>
      <w:r w:rsidR="00F81E69" w:rsidRPr="00C5488A">
        <w:rPr>
          <w:rFonts w:ascii="Titillium" w:hAnsi="Titillium" w:cs="Times New Roman"/>
          <w:sz w:val="20"/>
          <w:szCs w:val="20"/>
        </w:rPr>
        <w:t>o</w:t>
      </w:r>
      <w:r w:rsidR="00782E5B" w:rsidRPr="00C5488A">
        <w:rPr>
          <w:rFonts w:ascii="Titillium" w:hAnsi="Titillium" w:cs="Times New Roman"/>
          <w:sz w:val="20"/>
          <w:szCs w:val="20"/>
        </w:rPr>
        <w:t>. 1, del d.lgs. n. 33/2013</w:t>
      </w:r>
    </w:p>
    <w:p w:rsidR="004E3FEA" w:rsidRPr="00C5488A" w:rsidRDefault="00782E5B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ase di quanto sopra, </w:t>
      </w:r>
      <w:r w:rsidR="00E025EF">
        <w:rPr>
          <w:rFonts w:ascii="Titillium" w:hAnsi="Titillium" w:cs="Times New Roman"/>
          <w:sz w:val="20"/>
          <w:szCs w:val="20"/>
        </w:rPr>
        <w:t>il Nucleo di Valutazione</w:t>
      </w:r>
      <w:r w:rsidRPr="00C5488A">
        <w:rPr>
          <w:rFonts w:ascii="Titillium" w:hAnsi="Titillium" w:cs="Times New Roman"/>
          <w:sz w:val="20"/>
          <w:szCs w:val="20"/>
        </w:rPr>
        <w:t>, 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>. 4, lett. g), del d.lgs. n. 150/2009</w:t>
      </w:r>
    </w:p>
    <w:p w:rsidR="00674A85" w:rsidRPr="00C5488A" w:rsidRDefault="00674A85" w:rsidP="00BF1F2D">
      <w:pPr>
        <w:spacing w:before="120" w:after="0" w:line="276" w:lineRule="auto"/>
        <w:rPr>
          <w:rFonts w:ascii="Titillium" w:hAnsi="Titillium" w:cs="Times New Roman"/>
          <w:b/>
          <w:sz w:val="20"/>
          <w:szCs w:val="20"/>
        </w:rPr>
      </w:pPr>
    </w:p>
    <w:p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:rsidR="005E04C0" w:rsidRPr="00E025EF" w:rsidRDefault="00851A73" w:rsidP="00E025EF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="00A01D67" w:rsidRPr="00C5488A">
        <w:rPr>
          <w:rFonts w:ascii="Titillium" w:hAnsi="Titillium"/>
          <w:caps/>
          <w:sz w:val="20"/>
          <w:szCs w:val="20"/>
        </w:rPr>
        <w:t>l’</w:t>
      </w:r>
      <w:r w:rsidR="00E025EF">
        <w:rPr>
          <w:rFonts w:ascii="Titillium" w:hAnsi="Titillium"/>
          <w:sz w:val="20"/>
          <w:szCs w:val="20"/>
        </w:rPr>
        <w:t>amministrazione</w:t>
      </w:r>
      <w:r w:rsidR="0027396B" w:rsidRPr="00C5488A">
        <w:rPr>
          <w:rFonts w:ascii="Titillium" w:hAnsi="Titillium"/>
          <w:sz w:val="20"/>
          <w:szCs w:val="20"/>
        </w:rPr>
        <w:t xml:space="preserve"> ha</w:t>
      </w:r>
      <w:r w:rsidRPr="00C5488A">
        <w:rPr>
          <w:rFonts w:ascii="Titillium" w:hAnsi="Titillium"/>
          <w:sz w:val="20"/>
          <w:szCs w:val="20"/>
        </w:rPr>
        <w:t xml:space="preserve"> individuato </w:t>
      </w:r>
      <w:r w:rsidR="00A01D67"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="00A01D67"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="00A01D67"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="00A01D67" w:rsidRPr="00C5488A">
        <w:rPr>
          <w:rFonts w:ascii="Titillium" w:hAnsi="Titillium"/>
          <w:i/>
          <w:sz w:val="20"/>
          <w:szCs w:val="20"/>
        </w:rPr>
        <w:t>Amministrazione trasparente</w:t>
      </w:r>
      <w:r w:rsidR="00A01D67"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:rsidR="00E025EF" w:rsidRPr="00E025EF" w:rsidRDefault="000B7CB8" w:rsidP="00BF1F2D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="00E025EF">
        <w:rPr>
          <w:rFonts w:ascii="Titillium" w:hAnsi="Titillium"/>
          <w:sz w:val="20"/>
          <w:szCs w:val="20"/>
        </w:rPr>
        <w:t>amministrazione</w:t>
      </w:r>
      <w:r w:rsidRPr="00C5488A">
        <w:rPr>
          <w:rFonts w:ascii="Titillium" w:hAnsi="Titillium"/>
          <w:sz w:val="20"/>
          <w:szCs w:val="20"/>
        </w:rPr>
        <w:t xml:space="preserve">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7F0BC7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:rsidR="004619A1" w:rsidRPr="00C5488A" w:rsidRDefault="00674A85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="00E025EF">
        <w:rPr>
          <w:rFonts w:ascii="Titillium" w:hAnsi="Titillium"/>
          <w:sz w:val="20"/>
          <w:szCs w:val="20"/>
        </w:rPr>
        <w:t>amministrazione</w:t>
      </w:r>
      <w:r w:rsidRPr="00C5488A">
        <w:rPr>
          <w:rFonts w:ascii="Titillium" w:hAnsi="Titillium"/>
          <w:sz w:val="20"/>
          <w:szCs w:val="20"/>
        </w:rPr>
        <w:t xml:space="preserve"> NON </w:t>
      </w:r>
      <w:r w:rsidR="004619A1"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:rsidR="00E5425E" w:rsidRPr="00C5488A" w:rsidRDefault="00E5425E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dell’amministrazione/</w:t>
      </w:r>
      <w:r w:rsidRPr="00C5488A">
        <w:rPr>
          <w:rFonts w:ascii="Titillium" w:hAnsi="Titillium"/>
          <w:sz w:val="20"/>
          <w:szCs w:val="20"/>
        </w:rPr>
        <w:t>ente.</w:t>
      </w:r>
    </w:p>
    <w:p w:rsidR="004E3FEA" w:rsidRPr="00C5488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:rsidR="00747FDE" w:rsidRPr="00C5488A" w:rsidRDefault="00782E5B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Data </w:t>
      </w:r>
      <w:r w:rsidR="00E025EF">
        <w:rPr>
          <w:rFonts w:ascii="Titillium" w:hAnsi="Titillium" w:cs="Times New Roman"/>
          <w:sz w:val="20"/>
          <w:szCs w:val="20"/>
        </w:rPr>
        <w:t>28.06.2022</w:t>
      </w:r>
    </w:p>
    <w:p w:rsidR="005E04C0" w:rsidRPr="00C5488A" w:rsidRDefault="005E04C0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:rsidR="000B7CB8" w:rsidRDefault="00E025EF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Il Nucleo di Valutazione</w:t>
      </w:r>
    </w:p>
    <w:p w:rsidR="00E025EF" w:rsidRPr="00C5488A" w:rsidRDefault="00E025EF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:rsidR="004E3FEA" w:rsidRPr="00C5488A" w:rsidRDefault="000B7CB8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>(</w:t>
      </w:r>
      <w:r w:rsidR="0035146F">
        <w:rPr>
          <w:rFonts w:ascii="Titillium" w:hAnsi="Titillium" w:cs="Times New Roman"/>
          <w:b/>
          <w:bCs/>
          <w:sz w:val="20"/>
          <w:szCs w:val="20"/>
        </w:rPr>
        <w:t>DIANA VERNEAU</w:t>
      </w:r>
      <w:r w:rsidR="00782E5B" w:rsidRPr="00C5488A">
        <w:rPr>
          <w:rFonts w:ascii="Titillium" w:hAnsi="Titillium" w:cs="Times New Roman"/>
          <w:sz w:val="20"/>
          <w:szCs w:val="20"/>
        </w:rPr>
        <w:t>)</w:t>
      </w:r>
    </w:p>
    <w:sectPr w:rsidR="004E3FEA" w:rsidRPr="00C5488A" w:rsidSect="00FE1D44">
      <w:headerReference w:type="default" r:id="rId11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155" w:rsidRDefault="00FC7155">
      <w:pPr>
        <w:spacing w:after="0" w:line="240" w:lineRule="auto"/>
      </w:pPr>
      <w:r>
        <w:separator/>
      </w:r>
    </w:p>
  </w:endnote>
  <w:endnote w:type="continuationSeparator" w:id="0">
    <w:p w:rsidR="00FC7155" w:rsidRDefault="00FC7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155" w:rsidRDefault="00FC7155">
      <w:r>
        <w:separator/>
      </w:r>
    </w:p>
  </w:footnote>
  <w:footnote w:type="continuationSeparator" w:id="0">
    <w:p w:rsidR="00FC7155" w:rsidRDefault="00FC7155">
      <w:r>
        <w:continuationSeparator/>
      </w:r>
    </w:p>
  </w:footnote>
  <w:footnote w:id="1">
    <w:p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</w:t>
      </w:r>
      <w:r w:rsidR="00E025EF">
        <w:rPr>
          <w:rFonts w:ascii="Titillium" w:hAnsi="Titillium"/>
          <w:sz w:val="18"/>
          <w:szCs w:val="18"/>
        </w:rPr>
        <w:t xml:space="preserve">dal Nucleo </w:t>
      </w:r>
      <w:r w:rsidRPr="00AA64A3">
        <w:rPr>
          <w:rFonts w:ascii="Titillium" w:hAnsi="Titillium"/>
          <w:sz w:val="18"/>
          <w:szCs w:val="18"/>
        </w:rPr>
        <w:t xml:space="preserve">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EA" w:rsidRPr="00B91F3C" w:rsidRDefault="00782E5B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B91F3C">
      <w:rPr>
        <w:rFonts w:ascii="Titillium" w:hAnsi="Titillium"/>
        <w:b/>
        <w:sz w:val="20"/>
        <w:szCs w:val="20"/>
      </w:rPr>
      <w:t xml:space="preserve">Allegato </w:t>
    </w:r>
    <w:r w:rsidR="00DF2E3B" w:rsidRPr="00B91F3C">
      <w:rPr>
        <w:rFonts w:ascii="Titillium" w:hAnsi="Titillium"/>
        <w:b/>
        <w:sz w:val="20"/>
        <w:szCs w:val="20"/>
      </w:rPr>
      <w:t>1</w:t>
    </w:r>
    <w:r w:rsidR="000B7CB8" w:rsidRPr="00B91F3C">
      <w:rPr>
        <w:rFonts w:ascii="Titillium" w:hAnsi="Titillium"/>
        <w:b/>
        <w:sz w:val="20"/>
        <w:szCs w:val="20"/>
      </w:rPr>
      <w:t>.1</w:t>
    </w:r>
    <w:r w:rsidRPr="00B91F3C">
      <w:rPr>
        <w:rFonts w:ascii="Titillium" w:hAnsi="Titillium"/>
        <w:b/>
        <w:sz w:val="20"/>
        <w:szCs w:val="20"/>
      </w:rPr>
      <w:t xml:space="preserve"> alla </w:t>
    </w:r>
    <w:r w:rsidRPr="00B91F3C">
      <w:rPr>
        <w:rFonts w:ascii="Titillium" w:hAnsi="Titillium" w:cs="Times New Roman"/>
        <w:b/>
        <w:sz w:val="20"/>
        <w:szCs w:val="20"/>
      </w:rPr>
      <w:t>delibera</w:t>
    </w:r>
    <w:r w:rsidR="009C497A" w:rsidRPr="00B91F3C">
      <w:rPr>
        <w:rFonts w:ascii="Titillium" w:hAnsi="Titillium" w:cs="Times New Roman"/>
        <w:b/>
        <w:sz w:val="20"/>
        <w:szCs w:val="20"/>
      </w:rPr>
      <w:t xml:space="preserve"> ANAC</w:t>
    </w:r>
    <w:r w:rsidRPr="00B91F3C">
      <w:rPr>
        <w:rFonts w:ascii="Titillium" w:hAnsi="Titillium" w:cs="Times New Roman"/>
        <w:b/>
        <w:sz w:val="20"/>
        <w:szCs w:val="20"/>
      </w:rPr>
      <w:t xml:space="preserve"> 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n. </w:t>
    </w:r>
    <w:r w:rsidR="006F7903">
      <w:rPr>
        <w:rFonts w:ascii="Titillium" w:hAnsi="Titillium" w:cs="Times New Roman"/>
        <w:b/>
        <w:sz w:val="20"/>
        <w:szCs w:val="20"/>
      </w:rPr>
      <w:t>201</w:t>
    </w:r>
    <w:r w:rsidR="005F5B0C" w:rsidRPr="00B91F3C">
      <w:rPr>
        <w:rFonts w:ascii="Titillium" w:hAnsi="Titillium" w:cs="Times New Roman"/>
        <w:b/>
        <w:sz w:val="20"/>
        <w:szCs w:val="20"/>
      </w:rPr>
      <w:t>/202</w:t>
    </w:r>
    <w:r w:rsidR="002E071E">
      <w:rPr>
        <w:rFonts w:ascii="Titillium" w:hAnsi="Titillium" w:cs="Times New Roman"/>
        <w:b/>
        <w:sz w:val="20"/>
        <w:szCs w:val="20"/>
      </w:rPr>
      <w:t>2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</w:rPr>
      <w:t>–</w:t>
    </w:r>
    <w:r w:rsidR="00BF1924" w:rsidRPr="00B91F3C">
      <w:rPr>
        <w:rFonts w:ascii="Titillium" w:hAnsi="Titillium"/>
        <w:b/>
        <w:sz w:val="20"/>
        <w:szCs w:val="20"/>
      </w:rPr>
      <w:t xml:space="preserve"> </w:t>
    </w:r>
    <w:r w:rsidRPr="00B91F3C">
      <w:rPr>
        <w:rFonts w:ascii="Titillium" w:hAnsi="Titillium"/>
        <w:b/>
        <w:sz w:val="20"/>
        <w:szCs w:val="20"/>
      </w:rPr>
      <w:t>Documento di attestazione</w:t>
    </w:r>
    <w:r w:rsidR="000B7CB8" w:rsidRPr="00B91F3C">
      <w:rPr>
        <w:rFonts w:ascii="Titillium" w:hAnsi="Titillium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  <w:u w:val="single"/>
      </w:rPr>
      <w:t>per le pubbl</w:t>
    </w:r>
    <w:r w:rsidR="00727F6D" w:rsidRPr="00B91F3C">
      <w:rPr>
        <w:rFonts w:ascii="Titillium" w:hAnsi="Titillium"/>
        <w:b/>
        <w:sz w:val="20"/>
        <w:szCs w:val="20"/>
        <w:u w:val="single"/>
      </w:rPr>
      <w:t xml:space="preserve">iche amministrazioni di cui al </w:t>
    </w:r>
    <w:r w:rsidR="000B7CB8" w:rsidRPr="00B91F3C">
      <w:rPr>
        <w:rFonts w:ascii="Titillium" w:hAnsi="Titillium"/>
        <w:b/>
        <w:sz w:val="20"/>
        <w:szCs w:val="20"/>
        <w:u w:val="single"/>
      </w:rPr>
      <w:t>§ 1.1.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3FEA"/>
    <w:rsid w:val="00011339"/>
    <w:rsid w:val="00066D41"/>
    <w:rsid w:val="00084790"/>
    <w:rsid w:val="000B0E9A"/>
    <w:rsid w:val="000B7CB8"/>
    <w:rsid w:val="000C1504"/>
    <w:rsid w:val="000C371F"/>
    <w:rsid w:val="000D5314"/>
    <w:rsid w:val="000F5BF6"/>
    <w:rsid w:val="00113654"/>
    <w:rsid w:val="001321A7"/>
    <w:rsid w:val="00167FEA"/>
    <w:rsid w:val="00193B7A"/>
    <w:rsid w:val="001C3EFA"/>
    <w:rsid w:val="001E200A"/>
    <w:rsid w:val="001E538C"/>
    <w:rsid w:val="001F4C4E"/>
    <w:rsid w:val="0027396B"/>
    <w:rsid w:val="002E071E"/>
    <w:rsid w:val="00324847"/>
    <w:rsid w:val="0035146F"/>
    <w:rsid w:val="003526DB"/>
    <w:rsid w:val="00417308"/>
    <w:rsid w:val="00452424"/>
    <w:rsid w:val="004619A1"/>
    <w:rsid w:val="004869E2"/>
    <w:rsid w:val="004B3307"/>
    <w:rsid w:val="004E3FEA"/>
    <w:rsid w:val="005148C3"/>
    <w:rsid w:val="005314E6"/>
    <w:rsid w:val="005345A7"/>
    <w:rsid w:val="005E04C0"/>
    <w:rsid w:val="005E3451"/>
    <w:rsid w:val="005F5B0C"/>
    <w:rsid w:val="00600B7E"/>
    <w:rsid w:val="00602524"/>
    <w:rsid w:val="006457A5"/>
    <w:rsid w:val="006626ED"/>
    <w:rsid w:val="00674A85"/>
    <w:rsid w:val="006C4F57"/>
    <w:rsid w:val="006F7903"/>
    <w:rsid w:val="00727F6D"/>
    <w:rsid w:val="00747FDE"/>
    <w:rsid w:val="00764C40"/>
    <w:rsid w:val="0077435D"/>
    <w:rsid w:val="00782E5B"/>
    <w:rsid w:val="007E3898"/>
    <w:rsid w:val="007F0BC7"/>
    <w:rsid w:val="00851A73"/>
    <w:rsid w:val="00863793"/>
    <w:rsid w:val="00893412"/>
    <w:rsid w:val="0092201A"/>
    <w:rsid w:val="00931D8D"/>
    <w:rsid w:val="009517B8"/>
    <w:rsid w:val="00987C24"/>
    <w:rsid w:val="009B3EC4"/>
    <w:rsid w:val="009C497A"/>
    <w:rsid w:val="009D2F2E"/>
    <w:rsid w:val="00A01D67"/>
    <w:rsid w:val="00A30748"/>
    <w:rsid w:val="00A431C2"/>
    <w:rsid w:val="00A70A92"/>
    <w:rsid w:val="00A928DF"/>
    <w:rsid w:val="00A93462"/>
    <w:rsid w:val="00AA64A3"/>
    <w:rsid w:val="00AD1A69"/>
    <w:rsid w:val="00AF286D"/>
    <w:rsid w:val="00B15635"/>
    <w:rsid w:val="00B3568E"/>
    <w:rsid w:val="00B505D1"/>
    <w:rsid w:val="00B91F3C"/>
    <w:rsid w:val="00BC601A"/>
    <w:rsid w:val="00BE32EF"/>
    <w:rsid w:val="00BF1924"/>
    <w:rsid w:val="00BF1F2D"/>
    <w:rsid w:val="00C017C6"/>
    <w:rsid w:val="00C037C3"/>
    <w:rsid w:val="00C13E06"/>
    <w:rsid w:val="00C205DD"/>
    <w:rsid w:val="00C5488A"/>
    <w:rsid w:val="00CD5018"/>
    <w:rsid w:val="00CE4B1E"/>
    <w:rsid w:val="00D2519E"/>
    <w:rsid w:val="00DA74D8"/>
    <w:rsid w:val="00DC3EB5"/>
    <w:rsid w:val="00DF2E3B"/>
    <w:rsid w:val="00E025EF"/>
    <w:rsid w:val="00E5425E"/>
    <w:rsid w:val="00E703E1"/>
    <w:rsid w:val="00E70D36"/>
    <w:rsid w:val="00E70EBB"/>
    <w:rsid w:val="00E8003A"/>
    <w:rsid w:val="00E93B7A"/>
    <w:rsid w:val="00EF3010"/>
    <w:rsid w:val="00F070D7"/>
    <w:rsid w:val="00F70C0B"/>
    <w:rsid w:val="00F757C1"/>
    <w:rsid w:val="00F81E69"/>
    <w:rsid w:val="00FB22A4"/>
    <w:rsid w:val="00FC7155"/>
    <w:rsid w:val="00FD5F94"/>
    <w:rsid w:val="00FE1D44"/>
    <w:rsid w:val="00FE5393"/>
    <w:rsid w:val="00FF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E1D44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FE1D44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sid w:val="00FE1D44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FE1D44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sid w:val="00FE1D44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sid w:val="00FE1D44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FE1D44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FE1D44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FE1D44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FE1D44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FE1D4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  <w:rsid w:val="00FE1D44"/>
  </w:style>
  <w:style w:type="character" w:customStyle="1" w:styleId="Richiamoallanotadichiusura">
    <w:name w:val="Richiamo alla nota di chiusura"/>
    <w:rsid w:val="00FE1D44"/>
    <w:rPr>
      <w:vertAlign w:val="superscript"/>
    </w:rPr>
  </w:style>
  <w:style w:type="character" w:customStyle="1" w:styleId="Caratterenotadichiusura">
    <w:name w:val="Carattere nota di chiusura"/>
    <w:rsid w:val="00FE1D44"/>
  </w:style>
  <w:style w:type="paragraph" w:styleId="Testonotaapidipagina">
    <w:name w:val="footnote text"/>
    <w:basedOn w:val="Normale"/>
    <w:rsid w:val="00FE1D44"/>
  </w:style>
  <w:style w:type="paragraph" w:styleId="Paragrafoelenco">
    <w:name w:val="List Paragraph"/>
    <w:basedOn w:val="Normale"/>
    <w:uiPriority w:val="34"/>
    <w:qFormat/>
    <w:rsid w:val="00FE1D44"/>
    <w:pPr>
      <w:ind w:left="357" w:hanging="357"/>
    </w:pPr>
  </w:style>
  <w:style w:type="paragraph" w:styleId="Testonormale">
    <w:name w:val="Plain Text"/>
    <w:basedOn w:val="Normale"/>
    <w:rsid w:val="00FE1D44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rsid w:val="00FE1D44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FE1D44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sid w:val="00FE1D44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FE1D44"/>
    <w:rPr>
      <w:b/>
      <w:bCs/>
    </w:rPr>
  </w:style>
  <w:style w:type="paragraph" w:styleId="Testofumetto">
    <w:name w:val="Balloon Text"/>
    <w:basedOn w:val="Normale"/>
    <w:rsid w:val="00FE1D44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rsid w:val="00FE1D44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82B3D-3944-4142-99C2-4F4CDD325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d7638-341e-4c6a-9d94-e49471d54c4a"/>
    <ds:schemaRef ds:uri="818e3c02-01f5-4b74-a803-ff9001699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4E6548-450E-4393-A412-53540D4379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CCFB6-A204-4739-8E17-061DE6840B96}">
  <ds:schemaRefs>
    <ds:schemaRef ds:uri="http://schemas.microsoft.com/office/2006/metadata/properties"/>
    <ds:schemaRef ds:uri="http://schemas.microsoft.com/office/infopath/2007/PartnerControls"/>
    <ds:schemaRef ds:uri="856d7638-341e-4c6a-9d94-e49471d54c4a"/>
    <ds:schemaRef ds:uri="818e3c02-01f5-4b74-a803-ff90016994ef"/>
  </ds:schemaRefs>
</ds:datastoreItem>
</file>

<file path=customXml/itemProps4.xml><?xml version="1.0" encoding="utf-8"?>
<ds:datastoreItem xmlns:ds="http://schemas.openxmlformats.org/officeDocument/2006/customXml" ds:itemID="{7E4EC366-2791-4569-8651-03971894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DVerneau</cp:lastModifiedBy>
  <cp:revision>2</cp:revision>
  <cp:lastPrinted>2019-02-26T09:22:00Z</cp:lastPrinted>
  <dcterms:created xsi:type="dcterms:W3CDTF">2022-06-28T14:45:00Z</dcterms:created>
  <dcterms:modified xsi:type="dcterms:W3CDTF">2022-06-28T14:45:00Z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